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6D620A"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0039CC9E" w14:textId="77777777" w:rsidR="006D620A" w:rsidRDefault="006D620A" w:rsidP="006D620A">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6D620A">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6D620A"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5276FAB6" w14:textId="77777777" w:rsidR="006D620A" w:rsidRDefault="006D620A" w:rsidP="006D620A">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6D620A">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6D620A"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06FDD7E8" w14:textId="77777777" w:rsidR="006D620A" w:rsidRDefault="006D620A" w:rsidP="006D620A">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3E561203"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6D620A"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6D620A"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6D620A"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6D620A"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6D620A"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6D620A"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C67D67" w14:paraId="110349BB" w14:textId="77777777" w:rsidTr="00E1729B">
        <w:tc>
          <w:tcPr>
            <w:tcW w:w="710"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41290AB7" w14:textId="77777777" w:rsidR="00C67D67" w:rsidRDefault="00C67D67"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5E8CE95E" w14:textId="77777777" w:rsidR="00C67D67" w:rsidRDefault="00C67D67"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5EE1A1A6" w14:textId="1DC6E82B" w:rsidR="00C67D67" w:rsidRDefault="00C67D67"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Área de </w:t>
            </w:r>
            <w:r w:rsidR="00E1729B">
              <w:rPr>
                <w:rFonts w:ascii="Century Gothic" w:hAnsi="Century Gothic" w:cs="Century Gothic"/>
                <w:color w:val="000000"/>
              </w:rPr>
              <w:t>Historia de la Filosofía</w:t>
            </w:r>
          </w:p>
        </w:tc>
      </w:tr>
      <w:tr w:rsidR="00C67D67" w14:paraId="2A14DA6B" w14:textId="77777777" w:rsidTr="00E1729B">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0380A" w14:textId="77777777" w:rsidR="00C67D67" w:rsidRDefault="00C67D67"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42E2BECF"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0FBEE99D"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C67D67" w14:paraId="124F91BE" w14:textId="77777777" w:rsidTr="00E1729B">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BFF0D" w14:textId="77777777" w:rsidR="00C67D67" w:rsidRDefault="00C67D67"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4A12A" w14:textId="77777777" w:rsidR="00C67D67" w:rsidRDefault="00C67D67"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73E7A371"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1876286E"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F3F2CA"/>
            <w:hideMark/>
          </w:tcPr>
          <w:p w14:paraId="07F9B98A"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E1729B" w14:paraId="6EC4732E" w14:textId="77777777" w:rsidTr="00E1729B">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196D8C1"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9F9E7"/>
            <w:hideMark/>
          </w:tcPr>
          <w:p w14:paraId="63061677" w14:textId="7427C817" w:rsidR="00E1729B" w:rsidRDefault="00E1729B" w:rsidP="00E1729B">
            <w:pPr>
              <w:jc w:val="both"/>
              <w:rPr>
                <w:rFonts w:ascii="Century Gothic" w:hAnsi="Century Gothic" w:cs="Century Gothic"/>
                <w:color w:val="000000"/>
                <w:sz w:val="20"/>
                <w:szCs w:val="20"/>
              </w:rPr>
            </w:pPr>
            <w:r>
              <w:rPr>
                <w:color w:val="000000"/>
              </w:rPr>
              <w:t xml:space="preserve">Realizar el análisis de fragmentos de los textos más relevantes de la Historia de la Filosofía, especialmente de </w:t>
            </w:r>
            <w:proofErr w:type="gramStart"/>
            <w:r>
              <w:rPr>
                <w:color w:val="000000"/>
              </w:rPr>
              <w:t>los autores y las autoras</w:t>
            </w:r>
            <w:proofErr w:type="gramEnd"/>
            <w:r>
              <w:rPr>
                <w:color w:val="000000"/>
              </w:rPr>
              <w:t xml:space="preserve"> tratados, identificando los problemas que en ellos se plantean y las ideas que se defienden y reconociendo el orden lógico de la argumentación, y ser capaz de transferir los conocimientos a otros autores y autoras o a otros problemas.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B98AF77"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905913"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B5F6A8"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252A14EB" w14:textId="77777777" w:rsidTr="00E1729B">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18397FD"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06A6428" w14:textId="35341730" w:rsidR="00E1729B" w:rsidRDefault="00E1729B" w:rsidP="00E1729B">
            <w:pPr>
              <w:jc w:val="both"/>
              <w:rPr>
                <w:rFonts w:ascii="Century Gothic" w:hAnsi="Century Gothic" w:cs="Century Gothic"/>
                <w:color w:val="000000"/>
                <w:sz w:val="20"/>
                <w:szCs w:val="20"/>
              </w:rPr>
            </w:pPr>
            <w:r>
              <w:rPr>
                <w:color w:val="000000"/>
              </w:rPr>
              <w:t xml:space="preserve">Argumentar con claridad y capacidad crítica, oralmente y por escrito, sus propias opiniones sobre los problemas fundamentales de la Filosofía, dialogando de manera razonada con otras posiciones diferentes.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C91228D"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6E786A0"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24930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7C802922" w14:textId="77777777" w:rsidTr="00E1729B">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A7141E1"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5F92BA8" w14:textId="2A6A5798" w:rsidR="00E1729B" w:rsidRDefault="00E1729B" w:rsidP="00E1729B">
            <w:pPr>
              <w:jc w:val="both"/>
              <w:rPr>
                <w:rFonts w:ascii="Century Gothic" w:hAnsi="Century Gothic" w:cs="Century Gothic"/>
                <w:color w:val="000000"/>
                <w:sz w:val="20"/>
                <w:szCs w:val="20"/>
              </w:rPr>
            </w:pPr>
            <w:r>
              <w:rPr>
                <w:color w:val="000000"/>
              </w:rPr>
              <w:t xml:space="preserve">Aplicar adecuadamente las herramientas y procedimientos del trabajo intelectual al aprendizaje de la Filosofía, realizando trabajos de organización e investigación de los contenidos.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30C9A7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58F4158"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3CA8C96"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39425054" w14:textId="77777777" w:rsidTr="00E1729B">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BB70AF7"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82C8B43" w14:textId="4CAF1CD0" w:rsidR="00E1729B" w:rsidRDefault="00E1729B" w:rsidP="00E1729B">
            <w:pPr>
              <w:jc w:val="both"/>
              <w:rPr>
                <w:rFonts w:ascii="Century Gothic" w:hAnsi="Century Gothic" w:cs="Century Gothic"/>
                <w:color w:val="000000"/>
                <w:sz w:val="20"/>
                <w:szCs w:val="20"/>
              </w:rPr>
            </w:pPr>
            <w:r>
              <w:rPr>
                <w:color w:val="000000"/>
              </w:rPr>
              <w:t xml:space="preserve">Utilizar las tecnologías de la información y la comunicación en la realización y exposición de los trabajos de investigación filosófica.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E74188"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5CA0773"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28CA929"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4F052BFC" w14:textId="77777777" w:rsidTr="00E1729B">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0107677"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29D85CD" w14:textId="74F1330C" w:rsidR="00E1729B" w:rsidRDefault="00E1729B" w:rsidP="00E1729B">
            <w:pPr>
              <w:jc w:val="both"/>
              <w:rPr>
                <w:rFonts w:ascii="Century Gothic" w:hAnsi="Century Gothic" w:cs="Century Gothic"/>
                <w:color w:val="000000"/>
                <w:sz w:val="20"/>
                <w:szCs w:val="20"/>
              </w:rPr>
            </w:pPr>
            <w:r>
              <w:rPr>
                <w:color w:val="000000"/>
              </w:rPr>
              <w:t xml:space="preserve">Conocer el origen de la Filosofía en Grecia y comprender el primer gran sistema filosófico, el idealismo de Platón, analizando la relación entre realidad y conocimiento, la concepción dualista del ser humano y la dimensión antropológica y política de la virtud, relacionándolo con la filosofía presocrática y el giro antropológico de Sócrates y los Sofistas, valorando su influencia en el desarrollo de las ideas y los cambios sociales de la Grecia Antigua y apreciando críticamente su discurso.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022E9C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66E7A9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762A948"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503C0B2B" w14:textId="77777777" w:rsidTr="00E1729B">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47553EB"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4210B07" w14:textId="64404B3E" w:rsidR="00E1729B" w:rsidRDefault="00E1729B" w:rsidP="00E1729B">
            <w:pPr>
              <w:jc w:val="both"/>
              <w:rPr>
                <w:rFonts w:ascii="Century Gothic" w:hAnsi="Century Gothic" w:cs="Century Gothic"/>
                <w:color w:val="000000"/>
                <w:sz w:val="20"/>
                <w:szCs w:val="20"/>
              </w:rPr>
            </w:pPr>
            <w:r>
              <w:rPr>
                <w:color w:val="000000"/>
              </w:rPr>
              <w:t xml:space="preserve">Entender el sistema teleológico de Aristóteles, examinando su concepción de la metafísica, la física, la teoría del conocimiento, la ética eudemonista y la política, relacionándolo con el pensamiento de Platón, la física de Demócrito, valorando su influencia en el desarrollo de las ideas y los cambios socioculturales de la Grecia Antigua y apreciando críticamente su discurso.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B0EF46"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8D82147"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6817A4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4318DA14" w14:textId="77777777" w:rsidTr="00E1729B">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A855E9E"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98B9FC0" w14:textId="11937B58" w:rsidR="00E1729B" w:rsidRDefault="00E1729B" w:rsidP="00E1729B">
            <w:pPr>
              <w:jc w:val="both"/>
              <w:rPr>
                <w:rFonts w:ascii="Century Gothic" w:hAnsi="Century Gothic" w:cs="Century Gothic"/>
                <w:color w:val="000000"/>
                <w:sz w:val="20"/>
                <w:szCs w:val="20"/>
              </w:rPr>
            </w:pPr>
            <w:r>
              <w:rPr>
                <w:color w:val="000000"/>
              </w:rPr>
              <w:t xml:space="preserve">Conocer las distintas escuelas éticas surgidas en el helenismo como el Epicureísmo, el Estoicismo y el Escepticismo, examinando sus concepciones morales y el ideal del sabio, metafísicas y físicas, valorando su papel en el contexto </w:t>
            </w:r>
            <w:proofErr w:type="gramStart"/>
            <w:r>
              <w:rPr>
                <w:color w:val="000000"/>
              </w:rPr>
              <w:t>socio-histórico</w:t>
            </w:r>
            <w:proofErr w:type="gramEnd"/>
            <w:r>
              <w:rPr>
                <w:color w:val="000000"/>
              </w:rPr>
              <w:t xml:space="preserve"> y cultural de la época y reconocer la repercusión de los grandes científicos helenísticos como Arquímedes, Euclides, Eratóstenes, Hiparco, Galeno o Apolonio, entre otros apreciando la gran importancia para Occidente de la Biblioteca de Alejandría. </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C7C661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662673"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8DDE14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137BAAC1" w14:textId="77777777" w:rsidTr="00E1729B">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731752"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9526766" w14:textId="61EF8F12" w:rsidR="00E1729B" w:rsidRDefault="00E1729B" w:rsidP="00E1729B">
            <w:pPr>
              <w:jc w:val="both"/>
              <w:rPr>
                <w:rFonts w:ascii="Century Gothic" w:hAnsi="Century Gothic" w:cs="Century Gothic"/>
                <w:color w:val="000000"/>
                <w:sz w:val="20"/>
                <w:szCs w:val="20"/>
              </w:rPr>
            </w:pPr>
            <w:r>
              <w:rPr>
                <w:color w:val="000000"/>
              </w:rPr>
              <w:t xml:space="preserve">Explicar el origen del pensamiento cristiano y su encuentro con la Filosofía, a través de las ideas fundamentales de Agustín de Hipona, apreciando su defensa de la libertad, la verdad y el conocimiento interior o la Historia. </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955A040"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F19C2E"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4015DE4"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3C1925D7" w14:textId="77777777" w:rsidTr="00E1729B">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A526710"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6488617" w14:textId="3E5096E8" w:rsidR="00E1729B" w:rsidRDefault="00E1729B" w:rsidP="00E1729B">
            <w:pPr>
              <w:jc w:val="both"/>
              <w:rPr>
                <w:rFonts w:ascii="Century Gothic" w:hAnsi="Century Gothic" w:cs="Century Gothic"/>
                <w:color w:val="000000"/>
                <w:sz w:val="20"/>
                <w:szCs w:val="20"/>
              </w:rPr>
            </w:pPr>
            <w:r>
              <w:rPr>
                <w:color w:val="000000"/>
              </w:rPr>
              <w:t xml:space="preserve">Conocer la síntesis de Tomás de Aquino, considerando las relaciones entre fe y razón, la demostración de la existencia de Dios y su concepción de la moralidad en el ser humano, </w:t>
            </w:r>
            <w:r>
              <w:rPr>
                <w:color w:val="000000"/>
              </w:rPr>
              <w:lastRenderedPageBreak/>
              <w:t xml:space="preserve">relacionándolo con el agustinismo, la Filosofía árabe y judía y el nominalismo, valorando su influencia en el desarrollo de las ideas y los cambios socioculturales de la Edad Media y enjuiciando críticamente su discurso. </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74CD973"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A3EFA5A"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D1725FD"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3FC3D042" w14:textId="77777777" w:rsidTr="00E1729B">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CD7529"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04146763" w14:textId="34BA154E" w:rsidR="00E1729B" w:rsidRDefault="00E1729B" w:rsidP="00E1729B">
            <w:pPr>
              <w:jc w:val="both"/>
              <w:rPr>
                <w:rFonts w:ascii="Century Gothic" w:hAnsi="Century Gothic" w:cs="Century Gothic"/>
                <w:color w:val="000000"/>
                <w:sz w:val="20"/>
                <w:szCs w:val="20"/>
              </w:rPr>
            </w:pPr>
            <w:r>
              <w:rPr>
                <w:color w:val="000000"/>
              </w:rPr>
              <w:t xml:space="preserve">Conocer alguna de las teorías centrales del pensamiento de Guillermo de </w:t>
            </w:r>
            <w:proofErr w:type="spellStart"/>
            <w:r>
              <w:rPr>
                <w:color w:val="000000"/>
              </w:rPr>
              <w:t>Ockam</w:t>
            </w:r>
            <w:proofErr w:type="spellEnd"/>
            <w:r>
              <w:rPr>
                <w:color w:val="000000"/>
              </w:rPr>
              <w:t xml:space="preserve">, cuya reflexión crítica supuso la separación razón-fe, la independencia de la Filosofía y el nuevo impulso para la ciencia.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DCEEB01"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61A3505"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670C85F"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75BB23F2" w14:textId="77777777" w:rsidTr="00E1729B">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6195575"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9F9E7"/>
            <w:hideMark/>
          </w:tcPr>
          <w:p w14:paraId="24F04F69" w14:textId="61D00EB3" w:rsidR="00E1729B" w:rsidRDefault="00E1729B" w:rsidP="00E1729B">
            <w:pPr>
              <w:jc w:val="both"/>
              <w:rPr>
                <w:rFonts w:ascii="Century Gothic" w:hAnsi="Century Gothic" w:cs="Century Gothic"/>
                <w:color w:val="000000"/>
                <w:sz w:val="20"/>
                <w:szCs w:val="20"/>
              </w:rPr>
            </w:pPr>
            <w:r>
              <w:rPr>
                <w:color w:val="000000"/>
              </w:rPr>
              <w:t xml:space="preserve">Comprender la importancia del giro del pensamiento occidental que anticipa la modernidad, dado en el Renacimiento, valorando el nuevo humanismo, el antropocentrismo que ensalza la dignitas hominis, la investigación de los prejuicios del conocimiento por F. Bacon, las implicaciones de la Revolución científica y conocer las tesis fundamentales del realismo político de N. Maquiavelo.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2323D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921FD5E"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7801BCF6"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28B9BB96" w14:textId="77777777" w:rsidTr="00E1729B">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75F016A"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hideMark/>
          </w:tcPr>
          <w:p w14:paraId="02C5F4C9" w14:textId="05D0E02B" w:rsidR="00E1729B" w:rsidRDefault="00E1729B" w:rsidP="00E1729B">
            <w:pPr>
              <w:jc w:val="both"/>
              <w:rPr>
                <w:rFonts w:ascii="Century Gothic" w:hAnsi="Century Gothic" w:cs="Century Gothic"/>
                <w:color w:val="000000"/>
                <w:sz w:val="20"/>
                <w:szCs w:val="20"/>
              </w:rPr>
            </w:pPr>
            <w:r>
              <w:rPr>
                <w:color w:val="000000"/>
              </w:rPr>
              <w:t xml:space="preserve">Entender las características de la corriente racionalista profundizando en el pensamiento de Descartes, distinguiendo el conocimiento metódico y su relación con la realidad, el cogito y el dualismo en el ser humano, relacionándolo con la Filosofía Humanista y el monismo de Spinoza, valorando su influencia en el desarrollo de las ideas y los cambios socioculturales de la Edad Moderna y apreciando críticamente su discurso. </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4C7C1D"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4424E1D"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EBB7664"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171B05F5" w14:textId="77777777" w:rsidTr="00E1729B">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85E3AA3"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1FC748D" w14:textId="39347DC1" w:rsidR="00E1729B" w:rsidRDefault="00E1729B" w:rsidP="00E1729B">
            <w:pPr>
              <w:jc w:val="both"/>
              <w:rPr>
                <w:rFonts w:ascii="Century Gothic" w:hAnsi="Century Gothic" w:cs="Century Gothic"/>
                <w:color w:val="000000"/>
                <w:sz w:val="20"/>
                <w:szCs w:val="20"/>
              </w:rPr>
            </w:pPr>
            <w:r>
              <w:rPr>
                <w:color w:val="000000"/>
              </w:rPr>
              <w:t xml:space="preserve">Conocer las características de la corriente empirista profundizando en el pensamiento de Hume, analizando los principios y elementos del conocimiento respecto a la verdad, las críticas a la causalidad y la sustancia y la defensa del emotivismo moral, relacionándolo con el liberalismo político de Locke, identificando su influencia en el desarrollo de las ideas y los cambios socioculturales de la Edad Moderna y valorando críticamente su discurso. </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D10307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11F5C7B"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B2BB71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20C14A38" w14:textId="77777777" w:rsidTr="00E1729B">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2C0485F"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25A5191D" w14:textId="2DC92E6E" w:rsidR="00E1729B" w:rsidRDefault="00E1729B" w:rsidP="00E1729B">
            <w:pPr>
              <w:jc w:val="both"/>
              <w:rPr>
                <w:rFonts w:ascii="Century Gothic" w:hAnsi="Century Gothic" w:cs="Century Gothic"/>
                <w:color w:val="000000"/>
                <w:sz w:val="20"/>
                <w:szCs w:val="20"/>
              </w:rPr>
            </w:pPr>
            <w:r>
              <w:rPr>
                <w:color w:val="000000"/>
              </w:rPr>
              <w:t xml:space="preserve">Conocer los principales ideales de los Ilustrados franceses, profundizando en el pensamiento de J. J. Rousseau, valorando la importancia de su pensamiento para el surgimiento de la democracia mediante un orden social acorde con la naturaleza humana.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9C134A5"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0D76E2"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39686E1"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1FC113A2" w14:textId="77777777" w:rsidTr="00E1729B">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32491013"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7FA788D" w14:textId="1A06F938" w:rsidR="00E1729B" w:rsidRDefault="00E1729B" w:rsidP="00E1729B">
            <w:pPr>
              <w:jc w:val="both"/>
              <w:rPr>
                <w:rFonts w:ascii="Century Gothic" w:hAnsi="Century Gothic" w:cs="Century Gothic"/>
                <w:color w:val="000000"/>
                <w:sz w:val="20"/>
                <w:szCs w:val="20"/>
              </w:rPr>
            </w:pPr>
            <w:r>
              <w:rPr>
                <w:color w:val="000000"/>
              </w:rPr>
              <w:t xml:space="preserve">Comprender el idealismo crítico de Kant, analizando el conocimiento trascendental, la Ley Moral y la paz perpetua, relacionándolo con el racionalismo de Descartes, el empirismo de Hume y la filosofía ilustrada de Rousseau, valorando su influencia en el desarrollo de las ideas y los cambios socioculturales de la Edad Moderna y enjuiciando críticamente su discurso. </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EEF9649"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86538EC"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E459DBD"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3C05FBEE" w14:textId="77777777" w:rsidTr="00E1729B">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D1AFBA0" w14:textId="77777777" w:rsidR="00E1729B" w:rsidRDefault="00E1729B" w:rsidP="00E1729B">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F3417CC" w14:textId="73CF94F2" w:rsidR="00E1729B" w:rsidRDefault="00E1729B" w:rsidP="00E1729B">
            <w:pPr>
              <w:jc w:val="both"/>
              <w:rPr>
                <w:rFonts w:ascii="Century Gothic" w:hAnsi="Century Gothic" w:cs="Century Gothic"/>
                <w:color w:val="000000"/>
                <w:sz w:val="20"/>
                <w:szCs w:val="20"/>
              </w:rPr>
            </w:pPr>
            <w:r>
              <w:rPr>
                <w:color w:val="000000"/>
              </w:rPr>
              <w:t xml:space="preserve">Entender el materialismo histórico de Marx, analizando la teoría del cambio social, la alienación y la crítica a las ideologías, relacionándolo con el idealismo de Hegel y con Feuerbach, e identificando la influencia de Marx en el desarrollo de las ideas y los cambios socioculturales de la Edad Contemporánea y valorando críticamente su discurso.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C81AB74"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59B396A"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EF65ACB" w14:textId="77777777" w:rsidR="00E1729B" w:rsidRDefault="00E1729B" w:rsidP="00E1729B">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080001AA" w14:textId="77777777" w:rsidTr="00E1729B">
        <w:trPr>
          <w:trHeight w:val="157"/>
        </w:trPr>
        <w:sdt>
          <w:sdtPr>
            <w:rPr>
              <w:rFonts w:ascii="Century Gothic" w:hAnsi="Century Gothic" w:cs="Century Gothic"/>
              <w:b/>
              <w:bCs/>
              <w:color w:val="000000"/>
              <w:sz w:val="20"/>
              <w:szCs w:val="20"/>
            </w:rPr>
            <w:id w:val="-120440310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500DAB2" w14:textId="74DB6A4C" w:rsidR="00E1729B" w:rsidRDefault="00E1729B" w:rsidP="00E1729B">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CD2913D" w14:textId="034C8D76" w:rsidR="00E1729B" w:rsidRDefault="00E1729B" w:rsidP="00E1729B">
            <w:pPr>
              <w:jc w:val="both"/>
              <w:rPr>
                <w:color w:val="000000"/>
              </w:rPr>
            </w:pPr>
            <w:r>
              <w:rPr>
                <w:color w:val="000000"/>
              </w:rPr>
              <w:t xml:space="preserve"> Comprender el vitalismo de Nietzsche, analizando la crítica a la metafísica, a la moral, a la ciencia y al lenguaje, y entendiendo la afirmación del superhombre como resultado de la inversión de valores y la voluntad de poder, relacionándolo con el vitalismo de Schopenhauer, valorando su influencia en el desarrollo de las </w:t>
            </w:r>
            <w:r>
              <w:rPr>
                <w:color w:val="000000"/>
              </w:rPr>
              <w:lastRenderedPageBreak/>
              <w:t xml:space="preserve">ideas y los cambios socioculturales contemporáneos y enjuiciando críticamente su discurso. </w:t>
            </w:r>
          </w:p>
        </w:tc>
        <w:sdt>
          <w:sdtPr>
            <w:rPr>
              <w:rFonts w:ascii="Century Gothic" w:hAnsi="Century Gothic" w:cs="Century Gothic"/>
              <w:b/>
              <w:bCs/>
              <w:color w:val="000000"/>
              <w:sz w:val="20"/>
              <w:szCs w:val="20"/>
            </w:rPr>
            <w:id w:val="-11086585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51AC24E" w14:textId="3987E256"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31656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E9CE874" w14:textId="2D02CAF2"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426809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48E73DF" w14:textId="5F306740"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2227F8D9" w14:textId="77777777" w:rsidTr="00E1729B">
        <w:trPr>
          <w:trHeight w:val="157"/>
        </w:trPr>
        <w:sdt>
          <w:sdtPr>
            <w:rPr>
              <w:rFonts w:ascii="Century Gothic" w:hAnsi="Century Gothic" w:cs="Century Gothic"/>
              <w:b/>
              <w:bCs/>
              <w:color w:val="000000"/>
              <w:sz w:val="20"/>
              <w:szCs w:val="20"/>
            </w:rPr>
            <w:id w:val="144125724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0CC9CDD" w14:textId="3ABF6891" w:rsidR="00E1729B" w:rsidRDefault="00E1729B" w:rsidP="00E1729B">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4AAC431" w14:textId="72826A28" w:rsidR="00E1729B" w:rsidRDefault="00E1729B" w:rsidP="00E1729B">
            <w:pPr>
              <w:jc w:val="both"/>
              <w:rPr>
                <w:color w:val="000000"/>
              </w:rPr>
            </w:pPr>
            <w:r>
              <w:rPr>
                <w:color w:val="000000"/>
              </w:rPr>
              <w:t>Entender el raciovitalismo de Ortega y Gasset, analizando la evolución de su pensamiento a través del objetivismo, el perspectivismo y el raciovitalismo, comprendiendo el sentido orteguiano de conceptos como, filosofía, vida, verdad, mundo, razón vital o la razón histórica, relacionándolo con figuras tanto de la Filosofía Española, véase Unamuno, como del pensamiento europeo, valorando las influencias que recibe y la repercusión de su pensamiento en el desarrollo de las ideas y la regeneración social, cultural y política de España.</w:t>
            </w:r>
          </w:p>
        </w:tc>
        <w:sdt>
          <w:sdtPr>
            <w:rPr>
              <w:rFonts w:ascii="Century Gothic" w:hAnsi="Century Gothic" w:cs="Century Gothic"/>
              <w:b/>
              <w:bCs/>
              <w:color w:val="000000"/>
              <w:sz w:val="20"/>
              <w:szCs w:val="20"/>
            </w:rPr>
            <w:id w:val="-70086309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6357A05" w14:textId="7B6B9D3C"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596752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C96F326" w14:textId="6A7BF4F0"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143166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5FAD0C6" w14:textId="30709BFE"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24C4B629" w14:textId="77777777" w:rsidTr="00E1729B">
        <w:trPr>
          <w:trHeight w:val="157"/>
        </w:trPr>
        <w:sdt>
          <w:sdtPr>
            <w:rPr>
              <w:rFonts w:ascii="Century Gothic" w:hAnsi="Century Gothic" w:cs="Century Gothic"/>
              <w:b/>
              <w:bCs/>
              <w:color w:val="000000"/>
              <w:sz w:val="20"/>
              <w:szCs w:val="20"/>
            </w:rPr>
            <w:id w:val="12297160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E6FDC9E" w14:textId="1210D625" w:rsidR="00E1729B" w:rsidRDefault="00E1729B" w:rsidP="00E1729B">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46F7DBA" w14:textId="298D0761" w:rsidR="00E1729B" w:rsidRDefault="00E1729B" w:rsidP="00E1729B">
            <w:pPr>
              <w:jc w:val="both"/>
              <w:rPr>
                <w:color w:val="000000"/>
              </w:rPr>
            </w:pPr>
            <w:r>
              <w:rPr>
                <w:color w:val="000000"/>
              </w:rPr>
              <w:t xml:space="preserve">Conocer las tesis fundamentales de la crítica de la Escuela de Frankfurt, analizando la racionalidad dialógica de Habermas, analizando los intereses del conocimiento y la acción comunicativa y las teorías fundamentales de la postmodernidad, analizando la deconstrucción de la modernidad, desde la multiplicidad de la sociedad de la comunicación, relacionándolo con la filosofía crítica de la Escuela de Frankfurt, valorando su influencia en el desarrollo de las ideas y los cambios socioculturales de la Edad Contemporánea y enjuiciando críticamente su discurso. Conocer las principales aportaciones de Wittgenstein y del Círculo de Viena a la Filosofía del Lenguaje, y su repercusión en el campo de la Filosofía de la Ciencia. </w:t>
            </w:r>
          </w:p>
        </w:tc>
        <w:sdt>
          <w:sdtPr>
            <w:rPr>
              <w:rFonts w:ascii="Century Gothic" w:hAnsi="Century Gothic" w:cs="Century Gothic"/>
              <w:b/>
              <w:bCs/>
              <w:color w:val="000000"/>
              <w:sz w:val="20"/>
              <w:szCs w:val="20"/>
            </w:rPr>
            <w:id w:val="-10977859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4372ABA" w14:textId="3464E524"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631961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36EF976" w14:textId="1DB7679A"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6779480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365002F" w14:textId="200E4A66"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1729B" w14:paraId="73531405" w14:textId="77777777" w:rsidTr="00E1729B">
        <w:trPr>
          <w:trHeight w:val="157"/>
        </w:trPr>
        <w:sdt>
          <w:sdtPr>
            <w:rPr>
              <w:rFonts w:ascii="Century Gothic" w:hAnsi="Century Gothic" w:cs="Century Gothic"/>
              <w:b/>
              <w:bCs/>
              <w:color w:val="000000"/>
              <w:sz w:val="20"/>
              <w:szCs w:val="20"/>
            </w:rPr>
            <w:id w:val="-54321058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7CC147B" w14:textId="39D38BE2" w:rsidR="00E1729B" w:rsidRDefault="00E1729B" w:rsidP="00E1729B">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B3A59F2" w14:textId="55340B36" w:rsidR="00E1729B" w:rsidRDefault="00E1729B" w:rsidP="00E1729B">
            <w:pPr>
              <w:jc w:val="both"/>
              <w:rPr>
                <w:color w:val="000000"/>
              </w:rPr>
            </w:pPr>
            <w:r>
              <w:rPr>
                <w:color w:val="000000"/>
              </w:rPr>
              <w:t xml:space="preserve">Conocer las tesis más definitorias del pensamiento postmoderno, la crítica a la razón ilustrada, a la idea de progreso, el pensamiento totalizador, la trivialización de la existencia, el crepúsculo del deber o la pérdida del sujeto frente a la cultura de masas, entre otras, identificando las tesis fundamentales de Vattimo, Lyotard y Baudrillard, y valorando críticamente su repercusión en el pensamiento filosófico a partir de finales del siglo. XX. </w:t>
            </w:r>
          </w:p>
        </w:tc>
        <w:sdt>
          <w:sdtPr>
            <w:rPr>
              <w:rFonts w:ascii="Century Gothic" w:hAnsi="Century Gothic" w:cs="Century Gothic"/>
              <w:b/>
              <w:bCs/>
              <w:color w:val="000000"/>
              <w:sz w:val="20"/>
              <w:szCs w:val="20"/>
            </w:rPr>
            <w:id w:val="42152711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89979A5" w14:textId="742E29F4"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891418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2DC9BE3" w14:textId="246E2051"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796071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455315A" w14:textId="628467D1" w:rsidR="00E1729B" w:rsidRDefault="00E1729B" w:rsidP="00E1729B">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2089E48A" w:rsidR="007A2052" w:rsidRDefault="007A2052" w:rsidP="00301422">
      <w:pPr>
        <w:jc w:val="both"/>
        <w:rPr>
          <w:rFonts w:ascii="Century Gothic" w:hAnsi="Century Gothic" w:cs="Century Gothic"/>
          <w:b/>
          <w:bCs/>
          <w:sz w:val="24"/>
          <w:szCs w:val="24"/>
          <w:lang w:val="es-ES"/>
        </w:rPr>
      </w:pPr>
    </w:p>
    <w:p w14:paraId="65115095" w14:textId="6449F0A4" w:rsidR="00E1729B" w:rsidRDefault="00E1729B" w:rsidP="00301422">
      <w:pPr>
        <w:jc w:val="both"/>
        <w:rPr>
          <w:rFonts w:ascii="Century Gothic" w:hAnsi="Century Gothic" w:cs="Century Gothic"/>
          <w:b/>
          <w:bCs/>
          <w:sz w:val="24"/>
          <w:szCs w:val="24"/>
          <w:lang w:val="es-ES"/>
        </w:rPr>
      </w:pPr>
    </w:p>
    <w:p w14:paraId="03A1B3E7" w14:textId="6D7F53BF" w:rsidR="00E1729B" w:rsidRDefault="00E1729B" w:rsidP="00301422">
      <w:pPr>
        <w:jc w:val="both"/>
        <w:rPr>
          <w:rFonts w:ascii="Century Gothic" w:hAnsi="Century Gothic" w:cs="Century Gothic"/>
          <w:b/>
          <w:bCs/>
          <w:sz w:val="24"/>
          <w:szCs w:val="24"/>
          <w:lang w:val="es-ES"/>
        </w:rPr>
      </w:pPr>
    </w:p>
    <w:p w14:paraId="48BCB462" w14:textId="0A60DFF5" w:rsidR="00E1729B" w:rsidRDefault="00E1729B" w:rsidP="00301422">
      <w:pPr>
        <w:jc w:val="both"/>
        <w:rPr>
          <w:rFonts w:ascii="Century Gothic" w:hAnsi="Century Gothic" w:cs="Century Gothic"/>
          <w:b/>
          <w:bCs/>
          <w:sz w:val="24"/>
          <w:szCs w:val="24"/>
          <w:lang w:val="es-ES"/>
        </w:rPr>
      </w:pPr>
    </w:p>
    <w:p w14:paraId="417C7100" w14:textId="5E07F347" w:rsidR="00E1729B" w:rsidRDefault="00E1729B" w:rsidP="00301422">
      <w:pPr>
        <w:jc w:val="both"/>
        <w:rPr>
          <w:rFonts w:ascii="Century Gothic" w:hAnsi="Century Gothic" w:cs="Century Gothic"/>
          <w:b/>
          <w:bCs/>
          <w:sz w:val="24"/>
          <w:szCs w:val="24"/>
          <w:lang w:val="es-ES"/>
        </w:rPr>
      </w:pPr>
    </w:p>
    <w:p w14:paraId="720CC24E" w14:textId="6E873088" w:rsidR="00E1729B" w:rsidRDefault="00E1729B" w:rsidP="00301422">
      <w:pPr>
        <w:jc w:val="both"/>
        <w:rPr>
          <w:rFonts w:ascii="Century Gothic" w:hAnsi="Century Gothic" w:cs="Century Gothic"/>
          <w:b/>
          <w:bCs/>
          <w:sz w:val="24"/>
          <w:szCs w:val="24"/>
          <w:lang w:val="es-ES"/>
        </w:rPr>
      </w:pPr>
    </w:p>
    <w:p w14:paraId="535DB788" w14:textId="4D56CC6C" w:rsidR="00E1729B" w:rsidRDefault="00E1729B" w:rsidP="00301422">
      <w:pPr>
        <w:jc w:val="both"/>
        <w:rPr>
          <w:rFonts w:ascii="Century Gothic" w:hAnsi="Century Gothic" w:cs="Century Gothic"/>
          <w:b/>
          <w:bCs/>
          <w:sz w:val="24"/>
          <w:szCs w:val="24"/>
          <w:lang w:val="es-ES"/>
        </w:rPr>
      </w:pPr>
    </w:p>
    <w:p w14:paraId="15ED3A48" w14:textId="48E196FA" w:rsidR="00E1729B" w:rsidRDefault="00E1729B" w:rsidP="00301422">
      <w:pPr>
        <w:jc w:val="both"/>
        <w:rPr>
          <w:rFonts w:ascii="Century Gothic" w:hAnsi="Century Gothic" w:cs="Century Gothic"/>
          <w:b/>
          <w:bCs/>
          <w:sz w:val="24"/>
          <w:szCs w:val="24"/>
          <w:lang w:val="es-ES"/>
        </w:rPr>
      </w:pPr>
    </w:p>
    <w:p w14:paraId="1169BEDA" w14:textId="20CB765B" w:rsidR="00E1729B" w:rsidRDefault="00E1729B" w:rsidP="00301422">
      <w:pPr>
        <w:jc w:val="both"/>
        <w:rPr>
          <w:rFonts w:ascii="Century Gothic" w:hAnsi="Century Gothic" w:cs="Century Gothic"/>
          <w:b/>
          <w:bCs/>
          <w:sz w:val="24"/>
          <w:szCs w:val="24"/>
          <w:lang w:val="es-ES"/>
        </w:rPr>
      </w:pPr>
    </w:p>
    <w:p w14:paraId="38884DA3" w14:textId="6017321E" w:rsidR="00E1729B" w:rsidRDefault="00E1729B" w:rsidP="00301422">
      <w:pPr>
        <w:jc w:val="both"/>
        <w:rPr>
          <w:rFonts w:ascii="Century Gothic" w:hAnsi="Century Gothic" w:cs="Century Gothic"/>
          <w:b/>
          <w:bCs/>
          <w:sz w:val="24"/>
          <w:szCs w:val="24"/>
          <w:lang w:val="es-ES"/>
        </w:rPr>
      </w:pPr>
    </w:p>
    <w:p w14:paraId="74EA82CF" w14:textId="63A93E33" w:rsidR="00E1729B" w:rsidRDefault="00E1729B" w:rsidP="00301422">
      <w:pPr>
        <w:jc w:val="both"/>
        <w:rPr>
          <w:rFonts w:ascii="Century Gothic" w:hAnsi="Century Gothic" w:cs="Century Gothic"/>
          <w:b/>
          <w:bCs/>
          <w:sz w:val="24"/>
          <w:szCs w:val="24"/>
          <w:lang w:val="es-ES"/>
        </w:rPr>
      </w:pPr>
    </w:p>
    <w:p w14:paraId="6EC4263B" w14:textId="75FBA15D" w:rsidR="00E1729B" w:rsidRDefault="00E1729B" w:rsidP="00301422">
      <w:pPr>
        <w:jc w:val="both"/>
        <w:rPr>
          <w:rFonts w:ascii="Century Gothic" w:hAnsi="Century Gothic" w:cs="Century Gothic"/>
          <w:b/>
          <w:bCs/>
          <w:sz w:val="24"/>
          <w:szCs w:val="24"/>
          <w:lang w:val="es-ES"/>
        </w:rPr>
      </w:pPr>
    </w:p>
    <w:p w14:paraId="516A5768" w14:textId="77A81CE6" w:rsidR="00E1729B" w:rsidRDefault="00E1729B" w:rsidP="00301422">
      <w:pPr>
        <w:jc w:val="both"/>
        <w:rPr>
          <w:rFonts w:ascii="Century Gothic" w:hAnsi="Century Gothic" w:cs="Century Gothic"/>
          <w:b/>
          <w:bCs/>
          <w:sz w:val="24"/>
          <w:szCs w:val="24"/>
          <w:lang w:val="es-ES"/>
        </w:rPr>
      </w:pPr>
    </w:p>
    <w:p w14:paraId="0769A7E2" w14:textId="7B5A342F" w:rsidR="00E1729B" w:rsidRDefault="00E1729B" w:rsidP="00301422">
      <w:pPr>
        <w:jc w:val="both"/>
        <w:rPr>
          <w:rFonts w:ascii="Century Gothic" w:hAnsi="Century Gothic" w:cs="Century Gothic"/>
          <w:b/>
          <w:bCs/>
          <w:sz w:val="24"/>
          <w:szCs w:val="24"/>
          <w:lang w:val="es-ES"/>
        </w:rPr>
      </w:pPr>
    </w:p>
    <w:p w14:paraId="4E90D9EC" w14:textId="26050D79" w:rsidR="00E1729B" w:rsidRDefault="00E1729B" w:rsidP="00301422">
      <w:pPr>
        <w:jc w:val="both"/>
        <w:rPr>
          <w:rFonts w:ascii="Century Gothic" w:hAnsi="Century Gothic" w:cs="Century Gothic"/>
          <w:b/>
          <w:bCs/>
          <w:sz w:val="24"/>
          <w:szCs w:val="24"/>
          <w:lang w:val="es-ES"/>
        </w:rPr>
      </w:pPr>
    </w:p>
    <w:p w14:paraId="2AE2B386" w14:textId="560DE9FB" w:rsidR="00E1729B" w:rsidRDefault="00E1729B" w:rsidP="00301422">
      <w:pPr>
        <w:jc w:val="both"/>
        <w:rPr>
          <w:rFonts w:ascii="Century Gothic" w:hAnsi="Century Gothic" w:cs="Century Gothic"/>
          <w:b/>
          <w:bCs/>
          <w:sz w:val="24"/>
          <w:szCs w:val="24"/>
          <w:lang w:val="es-ES"/>
        </w:rPr>
      </w:pPr>
    </w:p>
    <w:p w14:paraId="6ED614E7" w14:textId="77777777" w:rsidR="00E1729B" w:rsidRDefault="00E1729B" w:rsidP="00301422">
      <w:pPr>
        <w:jc w:val="both"/>
        <w:rPr>
          <w:rFonts w:ascii="Century Gothic" w:hAnsi="Century Gothic" w:cs="Century Gothic"/>
          <w:b/>
          <w:bCs/>
          <w:sz w:val="24"/>
          <w:szCs w:val="24"/>
          <w:lang w:val="es-ES"/>
        </w:rPr>
      </w:pPr>
    </w:p>
    <w:p w14:paraId="4B57D446" w14:textId="77777777" w:rsidR="00770FA4" w:rsidRPr="00301422" w:rsidRDefault="00770FA4"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8F9B00D" w14:textId="77777777" w:rsidR="00E1729B" w:rsidRDefault="00E1729B"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77777777" w:rsidR="00AD00DF" w:rsidRDefault="00AD00DF"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23601F6E" w14:textId="0077D2B8" w:rsidR="005A208C" w:rsidRDefault="004C1975" w:rsidP="00947395">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3B39CD9A" w14:textId="14C02B6B" w:rsidR="004C1975" w:rsidRDefault="004C1975" w:rsidP="0074332D">
      <w:pPr>
        <w:spacing w:line="360" w:lineRule="auto"/>
        <w:jc w:val="both"/>
        <w:rPr>
          <w:rFonts w:ascii="Century Gothic" w:hAnsi="Century Gothic" w:cs="Century Gothic"/>
          <w:color w:val="000000"/>
          <w:lang w:val="es-ES"/>
        </w:rPr>
      </w:pP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6D620A">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6D620A">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6D620A">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6D620A">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6D620A">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6D620A">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202B8D"/>
    <w:rsid w:val="00254BDB"/>
    <w:rsid w:val="002B0E3D"/>
    <w:rsid w:val="002D7CA8"/>
    <w:rsid w:val="00301422"/>
    <w:rsid w:val="00302AA4"/>
    <w:rsid w:val="00324D59"/>
    <w:rsid w:val="00355B2D"/>
    <w:rsid w:val="003A400C"/>
    <w:rsid w:val="003E4138"/>
    <w:rsid w:val="003F10A6"/>
    <w:rsid w:val="00403036"/>
    <w:rsid w:val="00412D86"/>
    <w:rsid w:val="00414C1D"/>
    <w:rsid w:val="00423826"/>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D620A"/>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10EBC"/>
    <w:rsid w:val="00A9496D"/>
    <w:rsid w:val="00AD00DF"/>
    <w:rsid w:val="00AD018C"/>
    <w:rsid w:val="00B53172"/>
    <w:rsid w:val="00B64538"/>
    <w:rsid w:val="00BC4E79"/>
    <w:rsid w:val="00BE0E8D"/>
    <w:rsid w:val="00BE1765"/>
    <w:rsid w:val="00C03354"/>
    <w:rsid w:val="00C324B6"/>
    <w:rsid w:val="00C67D67"/>
    <w:rsid w:val="00C868DA"/>
    <w:rsid w:val="00C97D45"/>
    <w:rsid w:val="00CD0CF2"/>
    <w:rsid w:val="00CD5DDB"/>
    <w:rsid w:val="00CE3FFD"/>
    <w:rsid w:val="00CF7025"/>
    <w:rsid w:val="00D34F48"/>
    <w:rsid w:val="00D3637E"/>
    <w:rsid w:val="00DB1C1F"/>
    <w:rsid w:val="00DB7F63"/>
    <w:rsid w:val="00DF39FA"/>
    <w:rsid w:val="00E1272D"/>
    <w:rsid w:val="00E1729B"/>
    <w:rsid w:val="00ED43C6"/>
    <w:rsid w:val="00EE79C0"/>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FD6E91"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FD6E91"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BD64B2"/>
    <w:rsid w:val="00FD6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2533</Words>
  <Characters>13933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2022-01-01T11:35:00Z</dcterms:created>
  <dcterms:modified xsi:type="dcterms:W3CDTF">2022-01-12T13:16:00Z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