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2F2D5C"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3E37DA51" w14:textId="77777777" w:rsidR="002F2D5C" w:rsidRDefault="002F2D5C" w:rsidP="002F2D5C">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6C47F13F" w14:textId="77777777" w:rsidR="004C1975" w:rsidRPr="00CD6F33" w:rsidRDefault="004C1975" w:rsidP="002F2D5C">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2F2D5C"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262FAC24" w14:textId="77777777" w:rsidR="002F2D5C" w:rsidRDefault="002F2D5C" w:rsidP="002F2D5C">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01FAAA51" w14:textId="77777777" w:rsidR="004C1975" w:rsidRDefault="004C1975" w:rsidP="002F2D5C">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2F2D5C"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4295816F" w14:textId="5845E611" w:rsidR="002F2D5C" w:rsidRDefault="002F2D5C" w:rsidP="002F2D5C">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70745A2C" w14:textId="7C935C62"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2F2D5C"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2F2D5C"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2F2D5C"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2F2D5C"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2F2D5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2F2D5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FD8BC0B"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C67D67" w14:paraId="110349BB" w14:textId="77777777" w:rsidTr="009F7592">
        <w:tc>
          <w:tcPr>
            <w:tcW w:w="817"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41290AB7" w14:textId="77777777" w:rsidR="00C67D67" w:rsidRDefault="00C67D67"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5E8CE95E" w14:textId="77777777" w:rsidR="00C67D67" w:rsidRDefault="00C67D67"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1473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5EE1A1A6" w14:textId="77777777" w:rsidR="00C67D67" w:rsidRDefault="00C67D67" w:rsidP="009F7592">
            <w:pPr>
              <w:spacing w:line="360" w:lineRule="auto"/>
              <w:jc w:val="both"/>
              <w:rPr>
                <w:rFonts w:ascii="Century Gothic" w:hAnsi="Century Gothic" w:cs="Century Gothic"/>
                <w:color w:val="000000"/>
              </w:rPr>
            </w:pPr>
            <w:r>
              <w:rPr>
                <w:rFonts w:ascii="Century Gothic" w:hAnsi="Century Gothic" w:cs="Century Gothic"/>
                <w:color w:val="000000"/>
              </w:rPr>
              <w:t>Área de Valores Éticos</w:t>
            </w:r>
          </w:p>
        </w:tc>
      </w:tr>
      <w:tr w:rsidR="00C67D67" w14:paraId="2A14DA6B" w14:textId="77777777" w:rsidTr="009F759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0380A" w14:textId="77777777" w:rsidR="00C67D67" w:rsidRDefault="00C67D67" w:rsidP="009F7592">
            <w:pPr>
              <w:rPr>
                <w:rFonts w:ascii="Century Gothic" w:hAnsi="Century Gothic" w:cs="Century Gothic"/>
                <w:color w:val="000000"/>
              </w:rPr>
            </w:pPr>
          </w:p>
        </w:tc>
        <w:tc>
          <w:tcPr>
            <w:tcW w:w="11610"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42E2BECF"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0FBEE99D"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C67D67" w14:paraId="124F91BE" w14:textId="77777777" w:rsidTr="009F759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BFF0D" w14:textId="77777777" w:rsidR="00C67D67" w:rsidRDefault="00C67D67"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4A12A" w14:textId="77777777" w:rsidR="00C67D67" w:rsidRDefault="00C67D67" w:rsidP="009F7592">
            <w:pPr>
              <w:rPr>
                <w:rFonts w:ascii="Century Gothic" w:hAnsi="Century Gothic" w:cs="Century Gothic"/>
                <w:b/>
                <w:bCs/>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F3F2CA"/>
            <w:hideMark/>
          </w:tcPr>
          <w:p w14:paraId="73E7A371"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1040" w:type="dxa"/>
            <w:tcBorders>
              <w:top w:val="single" w:sz="4" w:space="0" w:color="auto"/>
              <w:left w:val="single" w:sz="4" w:space="0" w:color="auto"/>
              <w:bottom w:val="single" w:sz="4" w:space="0" w:color="auto"/>
              <w:right w:val="single" w:sz="4" w:space="0" w:color="auto"/>
            </w:tcBorders>
            <w:shd w:val="clear" w:color="auto" w:fill="F3F2CA"/>
            <w:hideMark/>
          </w:tcPr>
          <w:p w14:paraId="1876286E"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1041" w:type="dxa"/>
            <w:tcBorders>
              <w:top w:val="single" w:sz="4" w:space="0" w:color="auto"/>
              <w:left w:val="single" w:sz="4" w:space="0" w:color="auto"/>
              <w:bottom w:val="single" w:sz="4" w:space="0" w:color="auto"/>
              <w:right w:val="single" w:sz="4" w:space="0" w:color="auto"/>
            </w:tcBorders>
            <w:shd w:val="clear" w:color="auto" w:fill="F3F2CA"/>
            <w:hideMark/>
          </w:tcPr>
          <w:p w14:paraId="07F9B98A"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C67D67" w14:paraId="6EC4732E" w14:textId="77777777" w:rsidTr="009F7592">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196D8C1"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single" w:sz="4" w:space="0" w:color="000000"/>
              <w:left w:val="single" w:sz="4" w:space="0" w:color="000000"/>
              <w:bottom w:val="single" w:sz="4" w:space="0" w:color="000000"/>
              <w:right w:val="single" w:sz="4" w:space="0" w:color="000000"/>
            </w:tcBorders>
            <w:shd w:val="clear" w:color="auto" w:fill="F9F9E7"/>
            <w:hideMark/>
          </w:tcPr>
          <w:p w14:paraId="63061677"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1.1. Interpretar y valorar la importancia de la dignidad de la persona, como el valor del que parte y en el que se fundamenta la DUDH, subrayando los atributos inherentes a la naturaleza humana y los derechos inalienables y universales que derivan de ella, como el punto de partida sobre el que deben girar los valores éticos en las relaciones humanas a nivel personal, social, estatal y universal. </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B98AF77"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B90591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BB5F6A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252A14EB" w14:textId="77777777" w:rsidTr="009F7592">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18397FD"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306A6428"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2.1 Explicar, basándose en la DUDH, los principios que deben regir las relaciones entre los ciudadanos y el Estado, con el fin de favorecer su cumplimiento en la sociedad. </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C91228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6E786A0"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B24930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7C802922" w14:textId="77777777" w:rsidTr="009F7592">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A7141E1"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45F92BA8"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2.2 Explicar en qué consiste la socialización global y su relación con los medios de comunicación masiva, valorando sus efectos en la vida y el desarrollo moral de las personas y de la sociedad, reflexionando acerca del papel que deben tener la Ética y el Estado en relación con este tema. </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30C9A7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58F415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33CA8C96"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9425054" w14:textId="77777777" w:rsidTr="009F7592">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BB70AF7"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182C8B43"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3.1 Reconocer que, en el mundo actual de grandes y rápidos cambios, la necesidad de una regulación ética es fundamental, debido a la magnitud de los peligros a los que se enfrenta el ser humano, </w:t>
            </w:r>
            <w:proofErr w:type="gramStart"/>
            <w:r>
              <w:rPr>
                <w:color w:val="000000"/>
                <w:sz w:val="20"/>
                <w:szCs w:val="20"/>
              </w:rPr>
              <w:t>resultando necesaria</w:t>
            </w:r>
            <w:proofErr w:type="gramEnd"/>
            <w:r>
              <w:rPr>
                <w:color w:val="000000"/>
                <w:sz w:val="20"/>
                <w:szCs w:val="20"/>
              </w:rPr>
              <w:t xml:space="preserve"> su actualización y ampliación a los nuevos campos de acción de la persona, con el fin de garantizar el cumplimiento de los derechos humanos. </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FE7418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5CA077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128CA929"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4F052BFC" w14:textId="77777777" w:rsidTr="009F7592">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0107677"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29D85C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3.2 Comprender y apreciar la importancia que tienen para el ser humano del siglo XXI, las circunstancias que le rodean, destacando los límites que le imponen y las oportunidades que le ofrecen para la elaboración de su proyecto de vida, conforme a los valores éticos que libremente elige y que dan sentido a su existencia. </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022E9C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66E7A9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762A94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503C0B2B" w14:textId="77777777" w:rsidTr="009F7592">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47553EB"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74210B07"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3.3 Distinguir los principales valores éticos en los que se fundamentan las éticas formales, estableciendo su relación con la ética kantiana y señalando la importancia que este filósofo atribuye a la autonomía de la persona como valor ético fundamental. </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2B0EF46"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48D82147"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26817A4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4318DA14" w14:textId="77777777" w:rsidTr="009F7592">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A855E9E"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98B9FC0" w14:textId="77777777" w:rsidR="00C67D67" w:rsidRDefault="00C67D67" w:rsidP="009F7592">
            <w:pPr>
              <w:jc w:val="both"/>
              <w:rPr>
                <w:rFonts w:ascii="Century Gothic" w:hAnsi="Century Gothic" w:cs="Century Gothic"/>
                <w:color w:val="000000"/>
                <w:sz w:val="20"/>
                <w:szCs w:val="20"/>
              </w:rPr>
            </w:pPr>
            <w:r>
              <w:rPr>
                <w:color w:val="000000"/>
                <w:sz w:val="20"/>
                <w:szCs w:val="20"/>
              </w:rPr>
              <w:t>3.4 Identificar la Ética del Discurso, de Habermas y Apel, como una ética formal que destaca el valor del diálogo y el consenso en la comunidad como procedimiento para encontrar normas éticas justas.</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C7C661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B66267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8DDE14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137BAAC1" w14:textId="77777777" w:rsidTr="009F7592">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B731752"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79526766"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4.1 Concebir la democracia, no solo como una forma de gobierno, sino como un estilo de vida ciudadana, consciente de su deber como elemento activo de la vida política, colaborando en la defensa y difusión de los derechos humanos tanto en su vida personal como social. </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955A040"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4F19C2E"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14015DE4"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C1925D7" w14:textId="77777777" w:rsidTr="009F7592">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A526710"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16488617"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4.2 Reflexionar acerca del deber que tienen </w:t>
            </w:r>
            <w:proofErr w:type="gramStart"/>
            <w:r>
              <w:rPr>
                <w:color w:val="000000"/>
                <w:sz w:val="20"/>
                <w:szCs w:val="20"/>
              </w:rPr>
              <w:t>los ciudadanos y ciudadanas</w:t>
            </w:r>
            <w:proofErr w:type="gramEnd"/>
            <w:r>
              <w:rPr>
                <w:color w:val="000000"/>
                <w:sz w:val="20"/>
                <w:szCs w:val="20"/>
              </w:rPr>
              <w:t xml:space="preserve"> y los Estados de promover la enseñanza y la difusión de los valores éticos, como instrumentos indispensables para la defensa de la dignidad y los derechos humanos, ante el peligro que el fenómeno de la globalización puede representar para la destrucción del planeta y la deshumanización de la persona. </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74CD97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A3EFA5A"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3D1725F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FC3D042" w14:textId="77777777" w:rsidTr="009F7592">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BCD7529"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04146763"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5.1 Apreciar la necesidad de las leyes jurídicas en el Estado, para garantizar el respeto a los derechos humanos y disertar acerca de algunos dilemas morales en los que existe un conflicto entre los deberes éticos, relativos a la conciencia de la persona, y los deberes cívicos, que le imponen las leyes jurídicas. </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DCEEB01"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61A3505"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670C85F"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75BB23F2" w14:textId="77777777" w:rsidTr="009F7592">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6195575"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auto"/>
              <w:right w:val="single" w:sz="4" w:space="0" w:color="000000"/>
            </w:tcBorders>
            <w:shd w:val="clear" w:color="auto" w:fill="F9F9E7"/>
            <w:hideMark/>
          </w:tcPr>
          <w:p w14:paraId="24F04F69"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5.2 Disertar acerca de la teoría de Rawls basada en la justicia como equidad y como fundamento ético del Derecho, emitiendo un juicio crítico acerca de ella. </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22323D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921FD5E"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7801BCF6"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28B9BB96" w14:textId="77777777" w:rsidTr="009F7592">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75F016A"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single" w:sz="4" w:space="0" w:color="auto"/>
              <w:left w:val="single" w:sz="4" w:space="0" w:color="000000"/>
              <w:bottom w:val="single" w:sz="4" w:space="0" w:color="000000"/>
              <w:right w:val="single" w:sz="4" w:space="0" w:color="000000"/>
            </w:tcBorders>
            <w:shd w:val="clear" w:color="auto" w:fill="F9F9E7"/>
            <w:hideMark/>
          </w:tcPr>
          <w:p w14:paraId="02C5F4C9"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5.3 Valorar la DUDH como conjunto de ideales irrenunciables, teniendo problemas los problemas y deficiencias que existen en su aplicación, </w:t>
            </w:r>
            <w:r>
              <w:rPr>
                <w:color w:val="000000"/>
                <w:sz w:val="20"/>
                <w:szCs w:val="20"/>
              </w:rPr>
              <w:lastRenderedPageBreak/>
              <w:t>especialmente en lo relativo al ámbito económico y social, indicando la importancia de las instituciones y los voluntarios que trabajan por la defensa de los derechos humanos.</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F4C7C1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4424E1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EBB7664"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171B05F5" w14:textId="77777777" w:rsidTr="009F7592">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785E3AA3"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1FC748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5.4 Entender la seguridad y la paz como un derecho reconocido en la DUDH (art. 3) y como un compromiso de los españoles a nivel nacional e internacional (Constitución Española, preámbulo), identificando y evaluando el peligro de las nuevas amenazas, </w:t>
            </w:r>
            <w:proofErr w:type="gramStart"/>
            <w:r>
              <w:rPr>
                <w:color w:val="000000"/>
                <w:sz w:val="20"/>
                <w:szCs w:val="20"/>
              </w:rPr>
              <w:t>que</w:t>
            </w:r>
            <w:proofErr w:type="gramEnd"/>
            <w:r>
              <w:rPr>
                <w:color w:val="000000"/>
                <w:sz w:val="20"/>
                <w:szCs w:val="20"/>
              </w:rPr>
              <w:t xml:space="preserve"> contra ellas, han surgido en los últimos tiempos.</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D10307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11F5C7B"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3B2BB71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20C14A38" w14:textId="77777777" w:rsidTr="009F7592">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2C0485F"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25A5191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5.5 Conocer la misión atribuida, en la Constitución Española, a las fuerzas armadas y su relación con los compromisos que España tiene con los organismos internacionales a favor de la seguridad y la paz, reflexionando acerca de la importancia del derecho internacional para regular y limitar el uso y aplicación de la fuerza y el poder. </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49C134A5"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40D76E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39686E1"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1FC113A2" w14:textId="77777777" w:rsidTr="009F7592">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32491013"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37FA788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6.1 Identificar criterios que permitan evaluar, de forma crítica y reflexiva, los proyectos científicos y tecnológicos, con el fin de valorar su idoneidad en relación con el respeto a los derechos y valores éticos de la humanidad. </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EEF9649"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86538E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E459DB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C05FBEE" w14:textId="77777777" w:rsidTr="009F7592">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D1AFBA0"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1F3417CC"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6.2 Estimar la necesidad de hacer cumplir una ética deontológica a los científicos, a los tecnólogos y otros profesionales. </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C81AB74"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59B396A"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2EF65ACB"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26B6BC05" w:rsidR="007A2052" w:rsidRDefault="007A2052" w:rsidP="00301422">
      <w:pPr>
        <w:jc w:val="both"/>
        <w:rPr>
          <w:rFonts w:ascii="Century Gothic" w:hAnsi="Century Gothic" w:cs="Century Gothic"/>
          <w:b/>
          <w:bCs/>
          <w:sz w:val="24"/>
          <w:szCs w:val="24"/>
          <w:lang w:val="es-ES"/>
        </w:rPr>
      </w:pPr>
    </w:p>
    <w:p w14:paraId="4B57D446" w14:textId="77777777" w:rsidR="00770FA4" w:rsidRPr="00301422" w:rsidRDefault="00770FA4"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784A8161" w14:textId="5751C781" w:rsidR="005A208C" w:rsidRDefault="005A208C" w:rsidP="004C1975">
      <w:pPr>
        <w:spacing w:line="360" w:lineRule="auto"/>
        <w:jc w:val="both"/>
        <w:rPr>
          <w:rFonts w:ascii="Century Gothic" w:hAnsi="Century Gothic" w:cs="Century Gothic"/>
          <w:b/>
          <w:bCs/>
          <w:sz w:val="24"/>
          <w:szCs w:val="24"/>
          <w:lang w:val="es-ES"/>
        </w:rPr>
      </w:pPr>
    </w:p>
    <w:p w14:paraId="775F7F9F" w14:textId="25AFECDA" w:rsidR="00AD00DF" w:rsidRDefault="00AD00DF" w:rsidP="004C1975">
      <w:pPr>
        <w:spacing w:line="360" w:lineRule="auto"/>
        <w:jc w:val="both"/>
        <w:rPr>
          <w:rFonts w:ascii="Century Gothic" w:hAnsi="Century Gothic" w:cs="Century Gothic"/>
          <w:b/>
          <w:bCs/>
          <w:sz w:val="24"/>
          <w:szCs w:val="24"/>
          <w:lang w:val="es-ES"/>
        </w:rPr>
      </w:pPr>
    </w:p>
    <w:p w14:paraId="691E24DC" w14:textId="4478F891" w:rsidR="00AD00DF" w:rsidRDefault="00AD00DF" w:rsidP="004C1975">
      <w:pPr>
        <w:spacing w:line="360" w:lineRule="auto"/>
        <w:jc w:val="both"/>
        <w:rPr>
          <w:rFonts w:ascii="Century Gothic" w:hAnsi="Century Gothic" w:cs="Century Gothic"/>
          <w:b/>
          <w:bCs/>
          <w:sz w:val="24"/>
          <w:szCs w:val="24"/>
          <w:lang w:val="es-ES"/>
        </w:rPr>
      </w:pPr>
    </w:p>
    <w:p w14:paraId="6FE4BB0C" w14:textId="03774DB6" w:rsidR="00AD00DF" w:rsidRDefault="00AD00DF" w:rsidP="004C1975">
      <w:pPr>
        <w:spacing w:line="360" w:lineRule="auto"/>
        <w:jc w:val="both"/>
        <w:rPr>
          <w:rFonts w:ascii="Century Gothic" w:hAnsi="Century Gothic" w:cs="Century Gothic"/>
          <w:b/>
          <w:bCs/>
          <w:sz w:val="24"/>
          <w:szCs w:val="24"/>
          <w:lang w:val="es-ES"/>
        </w:rPr>
      </w:pPr>
    </w:p>
    <w:p w14:paraId="12ECEF26" w14:textId="269F48D7" w:rsidR="00770FA4" w:rsidRDefault="00770FA4" w:rsidP="004C1975">
      <w:pPr>
        <w:spacing w:line="360" w:lineRule="auto"/>
        <w:jc w:val="both"/>
        <w:rPr>
          <w:rFonts w:ascii="Century Gothic" w:hAnsi="Century Gothic" w:cs="Century Gothic"/>
          <w:b/>
          <w:bCs/>
          <w:sz w:val="24"/>
          <w:szCs w:val="24"/>
          <w:lang w:val="es-ES"/>
        </w:rPr>
      </w:pPr>
    </w:p>
    <w:p w14:paraId="5F95B34D" w14:textId="77777777" w:rsidR="00AD00DF" w:rsidRDefault="00AD00DF" w:rsidP="004C1975">
      <w:pPr>
        <w:spacing w:line="360" w:lineRule="auto"/>
        <w:jc w:val="both"/>
        <w:rPr>
          <w:rFonts w:ascii="Century Gothic" w:hAnsi="Century Gothic" w:cs="Century Gothic"/>
          <w:b/>
          <w:bCs/>
          <w:sz w:val="24"/>
          <w:szCs w:val="24"/>
          <w:lang w:val="es-ES"/>
        </w:rPr>
      </w:pPr>
    </w:p>
    <w:p w14:paraId="19BB8C5B" w14:textId="0D0C8185" w:rsidR="004C1975" w:rsidRPr="00AD00DF" w:rsidRDefault="004C1975" w:rsidP="0064688A">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 xml:space="preserve">ESTRATEGIAS Y CRITERIOS DE CALIFICACIÓN </w:t>
      </w:r>
      <w:r w:rsidRPr="0060453C">
        <w:rPr>
          <w:rFonts w:ascii="Century Gothic" w:hAnsi="Century Gothic" w:cs="Century Gothic"/>
          <w:b/>
          <w:bCs/>
          <w:color w:val="FF0000"/>
          <w:sz w:val="24"/>
          <w:szCs w:val="24"/>
          <w:lang w:val="es-ES"/>
        </w:rPr>
        <w:t>(Sólo en el caso de PENDIENTES)</w:t>
      </w:r>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1EA0AFDE" w14:textId="15879A30" w:rsidR="005A208C" w:rsidRDefault="005A208C" w:rsidP="0060453C">
      <w:pPr>
        <w:jc w:val="both"/>
        <w:rPr>
          <w:rFonts w:ascii="Century Gothic" w:hAnsi="Century Gothic" w:cs="Century Gothic"/>
          <w:b/>
          <w:bCs/>
          <w:sz w:val="24"/>
          <w:szCs w:val="24"/>
          <w:lang w:val="es-ES"/>
        </w:rPr>
      </w:pPr>
    </w:p>
    <w:p w14:paraId="0E32E24E" w14:textId="05F74F10" w:rsidR="005A208C" w:rsidRDefault="005A208C" w:rsidP="0060453C">
      <w:pPr>
        <w:jc w:val="both"/>
        <w:rPr>
          <w:rFonts w:ascii="Century Gothic" w:hAnsi="Century Gothic" w:cs="Century Gothic"/>
          <w:b/>
          <w:bCs/>
          <w:sz w:val="24"/>
          <w:szCs w:val="24"/>
          <w:lang w:val="es-ES"/>
        </w:rPr>
      </w:pPr>
    </w:p>
    <w:p w14:paraId="7BA0BF19" w14:textId="60D01B50" w:rsidR="00AD00DF" w:rsidRDefault="00AD00DF" w:rsidP="0060453C">
      <w:pPr>
        <w:jc w:val="both"/>
        <w:rPr>
          <w:rFonts w:ascii="Century Gothic" w:hAnsi="Century Gothic" w:cs="Century Gothic"/>
          <w:b/>
          <w:bCs/>
          <w:sz w:val="24"/>
          <w:szCs w:val="24"/>
          <w:lang w:val="es-ES"/>
        </w:rPr>
      </w:pPr>
    </w:p>
    <w:p w14:paraId="2AB4C85F" w14:textId="332E99E8" w:rsidR="00AD00DF" w:rsidRDefault="00AD00DF" w:rsidP="0060453C">
      <w:pPr>
        <w:jc w:val="both"/>
        <w:rPr>
          <w:rFonts w:ascii="Century Gothic" w:hAnsi="Century Gothic" w:cs="Century Gothic"/>
          <w:b/>
          <w:bCs/>
          <w:sz w:val="24"/>
          <w:szCs w:val="24"/>
          <w:lang w:val="es-ES"/>
        </w:rPr>
      </w:pPr>
    </w:p>
    <w:p w14:paraId="1DD32C87" w14:textId="49600950" w:rsidR="00770FA4" w:rsidRDefault="00770FA4" w:rsidP="0060453C">
      <w:pPr>
        <w:jc w:val="both"/>
        <w:rPr>
          <w:rFonts w:ascii="Century Gothic" w:hAnsi="Century Gothic" w:cs="Century Gothic"/>
          <w:b/>
          <w:bCs/>
          <w:sz w:val="24"/>
          <w:szCs w:val="24"/>
          <w:lang w:val="es-ES"/>
        </w:rPr>
      </w:pPr>
    </w:p>
    <w:p w14:paraId="04522CD7" w14:textId="77777777" w:rsidR="00770FA4" w:rsidRDefault="00770FA4" w:rsidP="0060453C">
      <w:pPr>
        <w:jc w:val="both"/>
        <w:rPr>
          <w:rFonts w:ascii="Century Gothic" w:hAnsi="Century Gothic" w:cs="Century Gothic"/>
          <w:b/>
          <w:bCs/>
          <w:sz w:val="24"/>
          <w:szCs w:val="24"/>
          <w:lang w:val="es-ES"/>
        </w:rPr>
      </w:pPr>
    </w:p>
    <w:p w14:paraId="2D059FF4"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2A88E0F6" w:rsidR="00AD00DF" w:rsidRDefault="00AD00DF" w:rsidP="004C1975">
      <w:pPr>
        <w:spacing w:line="360" w:lineRule="auto"/>
        <w:ind w:left="7200"/>
        <w:jc w:val="both"/>
        <w:rPr>
          <w:rFonts w:ascii="Century Gothic" w:hAnsi="Century Gothic" w:cs="Century Gothic"/>
          <w:color w:val="000000"/>
          <w:lang w:val="es-ES"/>
        </w:rPr>
      </w:pPr>
    </w:p>
    <w:p w14:paraId="602B12DC" w14:textId="6F7F656D" w:rsidR="002F2D5C" w:rsidRDefault="002F2D5C" w:rsidP="004C1975">
      <w:pPr>
        <w:spacing w:line="360" w:lineRule="auto"/>
        <w:ind w:left="7200"/>
        <w:jc w:val="both"/>
        <w:rPr>
          <w:rFonts w:ascii="Century Gothic" w:hAnsi="Century Gothic" w:cs="Century Gothic"/>
          <w:color w:val="000000"/>
          <w:lang w:val="es-ES"/>
        </w:rPr>
      </w:pPr>
    </w:p>
    <w:p w14:paraId="0562E8D5" w14:textId="77777777" w:rsidR="002F2D5C" w:rsidRDefault="002F2D5C"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23601F6E" w14:textId="0077D2B8" w:rsidR="005A208C" w:rsidRDefault="004C1975" w:rsidP="00947395">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0FDB8323" w14:textId="73428238" w:rsidR="00AD00DF" w:rsidRDefault="00AD00DF" w:rsidP="00947395">
      <w:pPr>
        <w:spacing w:line="360" w:lineRule="auto"/>
        <w:ind w:left="6804" w:hanging="2805"/>
        <w:jc w:val="both"/>
        <w:rPr>
          <w:rFonts w:ascii="Century Gothic" w:hAnsi="Century Gothic" w:cs="Century Gothic"/>
          <w:color w:val="000000"/>
          <w:lang w:val="es-ES"/>
        </w:rPr>
      </w:pPr>
    </w:p>
    <w:p w14:paraId="598AA600" w14:textId="370F35C7" w:rsidR="00AD00DF" w:rsidRDefault="00AD00DF" w:rsidP="00947395">
      <w:pPr>
        <w:spacing w:line="360" w:lineRule="auto"/>
        <w:ind w:left="6804" w:hanging="2805"/>
        <w:jc w:val="both"/>
        <w:rPr>
          <w:rFonts w:ascii="Century Gothic" w:hAnsi="Century Gothic" w:cs="Century Gothic"/>
          <w:color w:val="000000"/>
          <w:lang w:val="es-ES"/>
        </w:rPr>
      </w:pPr>
    </w:p>
    <w:p w14:paraId="5D8EDCB9" w14:textId="4CB67F58" w:rsidR="00AD00DF" w:rsidRDefault="00AD00DF" w:rsidP="00947395">
      <w:pPr>
        <w:spacing w:line="360" w:lineRule="auto"/>
        <w:ind w:left="6804" w:hanging="2805"/>
        <w:jc w:val="both"/>
        <w:rPr>
          <w:rFonts w:ascii="Century Gothic" w:hAnsi="Century Gothic" w:cs="Century Gothic"/>
          <w:color w:val="000000"/>
          <w:lang w:val="es-ES"/>
        </w:rPr>
      </w:pPr>
    </w:p>
    <w:p w14:paraId="10404084" w14:textId="0BF7D0DD" w:rsidR="00AD00DF" w:rsidRDefault="00AD00DF" w:rsidP="00947395">
      <w:pPr>
        <w:spacing w:line="360" w:lineRule="auto"/>
        <w:ind w:left="6804" w:hanging="2805"/>
        <w:jc w:val="both"/>
        <w:rPr>
          <w:rFonts w:ascii="Century Gothic" w:hAnsi="Century Gothic" w:cs="Century Gothic"/>
          <w:color w:val="000000"/>
          <w:lang w:val="es-ES"/>
        </w:rPr>
      </w:pPr>
    </w:p>
    <w:p w14:paraId="3D1457A5" w14:textId="507338F8" w:rsidR="00AD00DF" w:rsidRDefault="00AD00DF" w:rsidP="00947395">
      <w:pPr>
        <w:spacing w:line="360" w:lineRule="auto"/>
        <w:ind w:left="6804" w:hanging="2805"/>
        <w:jc w:val="both"/>
        <w:rPr>
          <w:rFonts w:ascii="Century Gothic" w:hAnsi="Century Gothic" w:cs="Century Gothic"/>
          <w:color w:val="000000"/>
          <w:lang w:val="es-ES"/>
        </w:rPr>
      </w:pPr>
    </w:p>
    <w:p w14:paraId="6F5D6EBD" w14:textId="6E6E3108" w:rsidR="00AD00DF" w:rsidRDefault="00AD00DF" w:rsidP="00947395">
      <w:pPr>
        <w:spacing w:line="360" w:lineRule="auto"/>
        <w:ind w:left="6804" w:hanging="2805"/>
        <w:jc w:val="both"/>
        <w:rPr>
          <w:rFonts w:ascii="Century Gothic" w:hAnsi="Century Gothic" w:cs="Century Gothic"/>
          <w:color w:val="000000"/>
          <w:lang w:val="es-ES"/>
        </w:rPr>
      </w:pPr>
    </w:p>
    <w:p w14:paraId="145C0129" w14:textId="28A5421C" w:rsidR="00AD00DF" w:rsidRDefault="00AD00DF" w:rsidP="00947395">
      <w:pPr>
        <w:spacing w:line="360" w:lineRule="auto"/>
        <w:ind w:left="6804" w:hanging="2805"/>
        <w:jc w:val="both"/>
        <w:rPr>
          <w:rFonts w:ascii="Century Gothic" w:hAnsi="Century Gothic" w:cs="Century Gothic"/>
          <w:color w:val="000000"/>
          <w:lang w:val="es-ES"/>
        </w:rPr>
      </w:pPr>
    </w:p>
    <w:p w14:paraId="69DEB420" w14:textId="77777777" w:rsidR="00AD00DF" w:rsidRPr="00CD5DDB" w:rsidRDefault="00AD00DF" w:rsidP="00947395">
      <w:pPr>
        <w:spacing w:line="360" w:lineRule="auto"/>
        <w:ind w:left="6804" w:hanging="2805"/>
        <w:jc w:val="both"/>
        <w:rPr>
          <w:rFonts w:ascii="Century Gothic" w:hAnsi="Century Gothic" w:cs="Century Gothic"/>
          <w:color w:val="000000"/>
          <w:lang w:val="es-ES"/>
        </w:rPr>
      </w:pPr>
    </w:p>
    <w:bookmarkEnd w:id="0"/>
    <w:sectPr w:rsidR="00AD00DF" w:rsidRPr="00CD5DDB"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2F2D5C">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2F2D5C">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2F2D5C">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2F2D5C">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2F2D5C">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2F2D5C">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201A55"/>
    <w:rsid w:val="00202B8D"/>
    <w:rsid w:val="00254BDB"/>
    <w:rsid w:val="002B0E3D"/>
    <w:rsid w:val="002D7CA8"/>
    <w:rsid w:val="002F2D5C"/>
    <w:rsid w:val="00301422"/>
    <w:rsid w:val="00302AA4"/>
    <w:rsid w:val="00324D59"/>
    <w:rsid w:val="00355B2D"/>
    <w:rsid w:val="003A400C"/>
    <w:rsid w:val="003E4138"/>
    <w:rsid w:val="003F10A6"/>
    <w:rsid w:val="00403036"/>
    <w:rsid w:val="00412D86"/>
    <w:rsid w:val="00414C1D"/>
    <w:rsid w:val="00423826"/>
    <w:rsid w:val="00450522"/>
    <w:rsid w:val="00496605"/>
    <w:rsid w:val="004A3537"/>
    <w:rsid w:val="004A582D"/>
    <w:rsid w:val="004C1975"/>
    <w:rsid w:val="004D3942"/>
    <w:rsid w:val="004D4E2D"/>
    <w:rsid w:val="004E0A40"/>
    <w:rsid w:val="004F66C2"/>
    <w:rsid w:val="00592E53"/>
    <w:rsid w:val="0059473B"/>
    <w:rsid w:val="005A0B88"/>
    <w:rsid w:val="005A208C"/>
    <w:rsid w:val="005A78E9"/>
    <w:rsid w:val="005E65DB"/>
    <w:rsid w:val="005E70A5"/>
    <w:rsid w:val="005F08DF"/>
    <w:rsid w:val="0060453C"/>
    <w:rsid w:val="00610632"/>
    <w:rsid w:val="006249D2"/>
    <w:rsid w:val="006428B6"/>
    <w:rsid w:val="0064688A"/>
    <w:rsid w:val="00654752"/>
    <w:rsid w:val="00655887"/>
    <w:rsid w:val="00687615"/>
    <w:rsid w:val="00697039"/>
    <w:rsid w:val="006A53EF"/>
    <w:rsid w:val="006E0199"/>
    <w:rsid w:val="006F62A9"/>
    <w:rsid w:val="00713D2C"/>
    <w:rsid w:val="0074332D"/>
    <w:rsid w:val="00770FA4"/>
    <w:rsid w:val="007A2052"/>
    <w:rsid w:val="007F26E4"/>
    <w:rsid w:val="00850C45"/>
    <w:rsid w:val="008B4B63"/>
    <w:rsid w:val="008B72D2"/>
    <w:rsid w:val="00947395"/>
    <w:rsid w:val="00975021"/>
    <w:rsid w:val="0099430F"/>
    <w:rsid w:val="009C5FE0"/>
    <w:rsid w:val="00A10EBC"/>
    <w:rsid w:val="00A9496D"/>
    <w:rsid w:val="00AD00DF"/>
    <w:rsid w:val="00AD018C"/>
    <w:rsid w:val="00B53172"/>
    <w:rsid w:val="00B64538"/>
    <w:rsid w:val="00BC4E79"/>
    <w:rsid w:val="00BE0E8D"/>
    <w:rsid w:val="00BE1765"/>
    <w:rsid w:val="00C03354"/>
    <w:rsid w:val="00C324B6"/>
    <w:rsid w:val="00C67D67"/>
    <w:rsid w:val="00C868DA"/>
    <w:rsid w:val="00C97D45"/>
    <w:rsid w:val="00CD0CF2"/>
    <w:rsid w:val="00CD5DDB"/>
    <w:rsid w:val="00CE3FFD"/>
    <w:rsid w:val="00CF7025"/>
    <w:rsid w:val="00D34F48"/>
    <w:rsid w:val="00D3637E"/>
    <w:rsid w:val="00DB1C1F"/>
    <w:rsid w:val="00DB7F63"/>
    <w:rsid w:val="00DF39FA"/>
    <w:rsid w:val="00E1272D"/>
    <w:rsid w:val="00ED43C6"/>
    <w:rsid w:val="00EE79C0"/>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FD6E91"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FD6E91"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BD64B2"/>
    <w:rsid w:val="00FD6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2054</Words>
  <Characters>11298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3</cp:revision>
  <cp:lastPrinted>2020-06-18T16:12:00Z</cp:lastPrinted>
  <dcterms:created xsi:type="dcterms:W3CDTF">2022-01-01T11:36:00Z</dcterms:created>
  <dcterms:modified xsi:type="dcterms:W3CDTF">2022-01-12T12:58:00Z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